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600D" w:rsidRPr="0073600D" w:rsidRDefault="0073600D" w:rsidP="0073600D">
      <w:p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 w:rsidRPr="0073600D">
        <w:rPr>
          <w:rFonts w:ascii="Arial" w:hAnsi="Arial" w:cs="Arial"/>
          <w:b/>
          <w:sz w:val="24"/>
          <w:szCs w:val="24"/>
        </w:rPr>
        <w:t>Figure e-1. ROC curve of APE</w:t>
      </w:r>
      <w:r w:rsidRPr="0073600D">
        <w:rPr>
          <w:rFonts w:ascii="Arial" w:hAnsi="Arial" w:cs="Arial"/>
          <w:b/>
          <w:sz w:val="24"/>
          <w:szCs w:val="24"/>
          <w:vertAlign w:val="superscript"/>
        </w:rPr>
        <w:t>2</w:t>
      </w:r>
      <w:r w:rsidRPr="0073600D">
        <w:rPr>
          <w:rFonts w:ascii="Arial" w:hAnsi="Arial" w:cs="Arial"/>
          <w:b/>
          <w:sz w:val="24"/>
          <w:szCs w:val="24"/>
        </w:rPr>
        <w:t xml:space="preserve"> and APE</w:t>
      </w:r>
      <w:r w:rsidRPr="0073600D">
        <w:rPr>
          <w:rFonts w:ascii="Arial" w:hAnsi="Arial" w:cs="Arial"/>
          <w:b/>
          <w:sz w:val="24"/>
          <w:szCs w:val="24"/>
          <w:vertAlign w:val="superscript"/>
        </w:rPr>
        <w:t>2</w:t>
      </w:r>
      <w:r w:rsidRPr="0073600D">
        <w:rPr>
          <w:rFonts w:ascii="Arial" w:hAnsi="Arial" w:cs="Arial"/>
          <w:b/>
          <w:sz w:val="24"/>
          <w:szCs w:val="24"/>
        </w:rPr>
        <w:t>-CHN scores.</w:t>
      </w:r>
    </w:p>
    <w:p w:rsidR="0073600D" w:rsidRPr="0073600D" w:rsidRDefault="0073600D" w:rsidP="0073600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73600D">
        <w:rPr>
          <w:rFonts w:ascii="Arial" w:hAnsi="Arial" w:cs="Arial"/>
          <w:sz w:val="20"/>
          <w:szCs w:val="20"/>
          <w:lang w:eastAsia="en-US"/>
        </w:rPr>
        <w:t>Based on ROC analysis with a cutoff of 4, the sensitivity and specificity of the APE</w:t>
      </w:r>
      <w:r w:rsidRPr="0073600D">
        <w:rPr>
          <w:rFonts w:ascii="Arial" w:hAnsi="Arial" w:cs="Arial"/>
          <w:sz w:val="20"/>
          <w:szCs w:val="20"/>
          <w:vertAlign w:val="superscript"/>
          <w:lang w:eastAsia="en-US"/>
        </w:rPr>
        <w:t>2</w:t>
      </w:r>
      <w:r w:rsidRPr="0073600D">
        <w:rPr>
          <w:rFonts w:ascii="Arial" w:hAnsi="Arial" w:cs="Arial"/>
          <w:sz w:val="20"/>
          <w:szCs w:val="20"/>
          <w:lang w:eastAsia="en-US"/>
        </w:rPr>
        <w:t xml:space="preserve"> score in predicting the presence of CNS-specific auto-antibodies in cases of epilepsy of unknown etiology (149) were 64.5% and 64.4% respectively, with an area under the curve (AUC) of 0.630. Based on ROC analysis with a cutoff of 5, the sensitivity and specificity of the APE</w:t>
      </w:r>
      <w:r w:rsidRPr="0073600D">
        <w:rPr>
          <w:rFonts w:ascii="Arial" w:hAnsi="Arial" w:cs="Arial"/>
          <w:sz w:val="20"/>
          <w:szCs w:val="20"/>
          <w:vertAlign w:val="superscript"/>
          <w:lang w:eastAsia="en-US"/>
        </w:rPr>
        <w:t>2</w:t>
      </w:r>
      <w:r w:rsidRPr="0073600D">
        <w:rPr>
          <w:rFonts w:ascii="Arial" w:hAnsi="Arial" w:cs="Arial"/>
          <w:sz w:val="20"/>
          <w:szCs w:val="20"/>
          <w:lang w:eastAsia="en-US"/>
        </w:rPr>
        <w:t xml:space="preserve">-CHN score were 85.5% and 58.9% respectively, with an AUC of 0.688. </w:t>
      </w:r>
    </w:p>
    <w:p w:rsidR="0073600D" w:rsidRPr="00705C62" w:rsidRDefault="00D843AF" w:rsidP="0073600D"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5E36C779" wp14:editId="768F534E">
            <wp:extent cx="5969000" cy="4777105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4777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00D" w:rsidRDefault="0073600D" w:rsidP="007360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</w:rPr>
      </w:pPr>
    </w:p>
    <w:p w:rsidR="0073600D" w:rsidRDefault="0073600D" w:rsidP="007360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</w:rPr>
      </w:pPr>
    </w:p>
    <w:p w:rsidR="0073600D" w:rsidRDefault="0073600D" w:rsidP="007360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</w:rPr>
      </w:pPr>
    </w:p>
    <w:p w:rsidR="0073600D" w:rsidRDefault="0073600D" w:rsidP="007360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</w:rPr>
      </w:pPr>
    </w:p>
    <w:p w:rsidR="0073600D" w:rsidRDefault="0073600D" w:rsidP="007360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</w:rPr>
      </w:pPr>
    </w:p>
    <w:p w:rsidR="0073600D" w:rsidRDefault="0073600D" w:rsidP="007360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</w:rPr>
      </w:pPr>
    </w:p>
    <w:p w:rsidR="0073600D" w:rsidRDefault="0073600D" w:rsidP="007360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</w:rPr>
      </w:pPr>
    </w:p>
    <w:p w:rsidR="0073600D" w:rsidRDefault="0073600D" w:rsidP="007360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</w:rPr>
      </w:pPr>
    </w:p>
    <w:p w:rsidR="0073600D" w:rsidRDefault="0073600D" w:rsidP="007360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</w:rPr>
      </w:pPr>
    </w:p>
    <w:p w:rsidR="0073600D" w:rsidRDefault="0073600D" w:rsidP="0073600D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4"/>
          <w:szCs w:val="24"/>
        </w:rPr>
      </w:pPr>
    </w:p>
    <w:p w:rsidR="00DA7776" w:rsidRDefault="00DA7776">
      <w:bookmarkStart w:id="0" w:name="_GoBack"/>
      <w:bookmarkEnd w:id="0"/>
    </w:p>
    <w:sectPr w:rsidR="00DA7776" w:rsidSect="007436AC">
      <w:pgSz w:w="12242" w:h="15842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24F2"/>
    <w:rsid w:val="003173CD"/>
    <w:rsid w:val="003401DA"/>
    <w:rsid w:val="005422A1"/>
    <w:rsid w:val="006D0F30"/>
    <w:rsid w:val="0073600D"/>
    <w:rsid w:val="00860199"/>
    <w:rsid w:val="00B25B37"/>
    <w:rsid w:val="00CC7077"/>
    <w:rsid w:val="00D843AF"/>
    <w:rsid w:val="00DA7776"/>
    <w:rsid w:val="00E524F2"/>
    <w:rsid w:val="00FD23CD"/>
    <w:rsid w:val="00FF3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8932D"/>
  <w15:docId w15:val="{052CD830-A4FA-284E-8B90-9C2B83E19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2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5B3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25B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74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</dc:creator>
  <cp:lastModifiedBy>曾 畅</cp:lastModifiedBy>
  <cp:revision>10</cp:revision>
  <dcterms:created xsi:type="dcterms:W3CDTF">2020-02-29T02:44:00Z</dcterms:created>
  <dcterms:modified xsi:type="dcterms:W3CDTF">2020-03-14T08:00:00Z</dcterms:modified>
</cp:coreProperties>
</file>